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4A" w:rsidRDefault="0079374E" w:rsidP="0033044A">
      <w:pPr>
        <w:spacing w:after="0" w:line="240" w:lineRule="auto"/>
        <w:jc w:val="center"/>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 xml:space="preserve">STUDENT MOBILITY </w:t>
      </w:r>
      <w:r w:rsidR="00D24639">
        <w:rPr>
          <w:rFonts w:ascii="Segoe UI" w:eastAsia="Times New Roman" w:hAnsi="Segoe UI" w:cs="Segoe UI"/>
          <w:b/>
          <w:bCs/>
          <w:kern w:val="0"/>
          <w14:ligatures w14:val="none"/>
        </w:rPr>
        <w:t>APPLICATION FORM</w:t>
      </w:r>
      <w:bookmarkStart w:id="0" w:name="_GoBack"/>
      <w:bookmarkEnd w:id="0"/>
      <w:r w:rsidR="0033044A">
        <w:rPr>
          <w:rFonts w:ascii="Segoe UI" w:eastAsia="Times New Roman" w:hAnsi="Segoe UI" w:cs="Segoe UI"/>
          <w:b/>
          <w:bCs/>
          <w:kern w:val="0"/>
          <w14:ligatures w14:val="none"/>
        </w:rPr>
        <w:t>-2026</w:t>
      </w:r>
    </w:p>
    <w:p w:rsidR="0079374E" w:rsidRDefault="0079374E" w:rsidP="004A20EE">
      <w:pPr>
        <w:spacing w:after="0" w:line="240" w:lineRule="auto"/>
        <w:jc w:val="center"/>
        <w:rPr>
          <w:rFonts w:ascii="Segoe UI" w:eastAsia="Times New Roman" w:hAnsi="Segoe UI" w:cs="Segoe UI"/>
          <w:b/>
          <w:bCs/>
          <w:kern w:val="0"/>
          <w14:ligatures w14:val="none"/>
        </w:rPr>
      </w:pPr>
    </w:p>
    <w:p w:rsidR="00850AB3" w:rsidRPr="00850AB3" w:rsidRDefault="00850AB3" w:rsidP="00774572">
      <w:pPr>
        <w:spacing w:after="0" w:line="360" w:lineRule="auto"/>
        <w:rPr>
          <w:rFonts w:ascii="Segoe UI" w:eastAsia="Times New Roman" w:hAnsi="Segoe UI" w:cs="Segoe UI"/>
          <w:b/>
          <w:bCs/>
          <w:kern w:val="0"/>
          <w14:ligatures w14:val="none"/>
        </w:rPr>
      </w:pPr>
      <w:r w:rsidRPr="00850AB3">
        <w:rPr>
          <w:rFonts w:ascii="Segoe UI" w:eastAsia="Times New Roman" w:hAnsi="Segoe UI" w:cs="Segoe UI"/>
          <w:b/>
          <w:bCs/>
          <w:kern w:val="0"/>
          <w14:ligatures w14:val="none"/>
        </w:rPr>
        <w:t>Details of the Student</w:t>
      </w:r>
    </w:p>
    <w:p w:rsidR="00850AB3" w:rsidRDefault="0079374E"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 xml:space="preserve">Name of the </w:t>
      </w:r>
      <w:proofErr w:type="gramStart"/>
      <w:r w:rsidRPr="00850AB3">
        <w:rPr>
          <w:rFonts w:ascii="Segoe UI" w:eastAsia="Times New Roman" w:hAnsi="Segoe UI" w:cs="Segoe UI"/>
          <w:bCs/>
          <w:kern w:val="0"/>
          <w14:ligatures w14:val="none"/>
        </w:rPr>
        <w:t>Student</w:t>
      </w:r>
      <w:r w:rsidR="00850AB3">
        <w:rPr>
          <w:rFonts w:ascii="Segoe UI" w:eastAsia="Times New Roman" w:hAnsi="Segoe UI" w:cs="Segoe UI"/>
          <w:bCs/>
          <w:kern w:val="0"/>
          <w14:ligatures w14:val="none"/>
        </w:rPr>
        <w:tab/>
      </w:r>
      <w:r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roofErr w:type="gramEnd"/>
    </w:p>
    <w:p w:rsidR="00774572" w:rsidRPr="00850AB3" w:rsidRDefault="0079374E"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Registration Number</w:t>
      </w:r>
      <w:r w:rsidR="00850AB3">
        <w:rPr>
          <w:rFonts w:ascii="Segoe UI" w:eastAsia="Times New Roman" w:hAnsi="Segoe UI" w:cs="Segoe UI"/>
          <w:bCs/>
          <w:kern w:val="0"/>
          <w14:ligatures w14:val="none"/>
        </w:rPr>
        <w:tab/>
      </w:r>
      <w:r w:rsidR="00850AB3"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
    <w:p w:rsidR="00850AB3" w:rsidRPr="00850AB3" w:rsidRDefault="00774572"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Specialization</w:t>
      </w:r>
      <w:r w:rsidR="00850AB3">
        <w:rPr>
          <w:rFonts w:ascii="Segoe UI" w:eastAsia="Times New Roman" w:hAnsi="Segoe UI" w:cs="Segoe UI"/>
          <w:bCs/>
          <w:kern w:val="0"/>
          <w14:ligatures w14:val="none"/>
        </w:rPr>
        <w:t xml:space="preserve">  </w:t>
      </w:r>
      <w:r w:rsidR="00850AB3">
        <w:rPr>
          <w:rFonts w:ascii="Segoe UI" w:eastAsia="Times New Roman" w:hAnsi="Segoe UI" w:cs="Segoe UI"/>
          <w:bCs/>
          <w:kern w:val="0"/>
          <w14:ligatures w14:val="none"/>
        </w:rPr>
        <w:tab/>
      </w:r>
      <w:r w:rsidR="00850AB3"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
    <w:p w:rsidR="0079374E" w:rsidRPr="00850AB3" w:rsidRDefault="00850AB3" w:rsidP="00850AB3">
      <w:pPr>
        <w:pStyle w:val="ListParagraph"/>
        <w:numPr>
          <w:ilvl w:val="0"/>
          <w:numId w:val="2"/>
        </w:numPr>
        <w:spacing w:after="0" w:line="360" w:lineRule="auto"/>
        <w:rPr>
          <w:rFonts w:ascii="Segoe UI" w:eastAsia="Times New Roman" w:hAnsi="Segoe UI" w:cs="Segoe UI"/>
          <w:bCs/>
          <w:kern w:val="0"/>
          <w14:ligatures w14:val="none"/>
        </w:rPr>
      </w:pPr>
      <w:r>
        <w:rPr>
          <w:rFonts w:ascii="Segoe UI" w:eastAsia="Times New Roman" w:hAnsi="Segoe UI" w:cs="Segoe UI"/>
          <w:bCs/>
          <w:kern w:val="0"/>
          <w14:ligatures w14:val="none"/>
        </w:rPr>
        <w:t xml:space="preserve">Department </w:t>
      </w:r>
      <w:r>
        <w:rPr>
          <w:rFonts w:ascii="Segoe UI" w:eastAsia="Times New Roman" w:hAnsi="Segoe UI" w:cs="Segoe UI"/>
          <w:bCs/>
          <w:kern w:val="0"/>
          <w14:ligatures w14:val="none"/>
        </w:rPr>
        <w:tab/>
      </w:r>
      <w:r>
        <w:rPr>
          <w:rFonts w:ascii="Segoe UI" w:eastAsia="Times New Roman" w:hAnsi="Segoe UI" w:cs="Segoe UI"/>
          <w:bCs/>
          <w:kern w:val="0"/>
          <w14:ligatures w14:val="none"/>
        </w:rPr>
        <w:tab/>
      </w:r>
      <w:r w:rsidRPr="00850AB3">
        <w:rPr>
          <w:rFonts w:ascii="Segoe UI" w:eastAsia="Times New Roman" w:hAnsi="Segoe UI" w:cs="Segoe UI"/>
          <w:bCs/>
          <w:kern w:val="0"/>
          <w14:ligatures w14:val="none"/>
        </w:rPr>
        <w:t>:</w:t>
      </w:r>
      <w:r>
        <w:rPr>
          <w:rFonts w:ascii="Segoe UI" w:eastAsia="Times New Roman" w:hAnsi="Segoe UI" w:cs="Segoe UI"/>
          <w:bCs/>
          <w:kern w:val="0"/>
          <w14:ligatures w14:val="none"/>
        </w:rPr>
        <w:t>………………………………………………………………………………..</w:t>
      </w:r>
    </w:p>
    <w:p w:rsidR="0079374E" w:rsidRPr="0079374E" w:rsidRDefault="00D24639" w:rsidP="0079374E">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v:rect id="_x0000_i1025" style="width:0;height:1.5pt" o:hralign="center" o:hrstd="t" o:hr="t" fillcolor="#a0a0a0" stroked="f"/>
        </w:pict>
      </w:r>
    </w:p>
    <w:p w:rsidR="0079374E" w:rsidRPr="0079374E" w:rsidRDefault="0079374E" w:rsidP="0079374E">
      <w:pPr>
        <w:spacing w:before="100" w:beforeAutospacing="1"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1. Academic Performance</w:t>
      </w:r>
    </w:p>
    <w:p w:rsidR="0079374E" w:rsidRDefault="00E44FAB" w:rsidP="0079374E">
      <w:pPr>
        <w:spacing w:before="100" w:beforeAutospacing="1" w:after="100" w:afterAutospacing="1" w:line="240" w:lineRule="auto"/>
        <w:jc w:val="both"/>
        <w:rPr>
          <w:rFonts w:ascii="Segoe UI" w:eastAsia="Times New Roman" w:hAnsi="Segoe UI" w:cs="Segoe UI"/>
          <w:kern w:val="0"/>
          <w14:ligatures w14:val="none"/>
        </w:rPr>
      </w:pPr>
      <w:r>
        <w:rPr>
          <w:rFonts w:ascii="Segoe UI" w:eastAsia="Times New Roman" w:hAnsi="Segoe UI" w:cs="Segoe UI"/>
          <w:kern w:val="0"/>
          <w14:ligatures w14:val="none"/>
        </w:rPr>
        <w:t>Overall Grade Point Average (GPA): …………………………………………………………………………………….</w:t>
      </w:r>
    </w:p>
    <w:tbl>
      <w:tblPr>
        <w:tblpPr w:leftFromText="180" w:rightFromText="180" w:vertAnchor="text" w:horzAnchor="margin" w:tblpY="573"/>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987"/>
        <w:gridCol w:w="705"/>
        <w:gridCol w:w="706"/>
        <w:gridCol w:w="706"/>
        <w:gridCol w:w="706"/>
        <w:gridCol w:w="706"/>
        <w:gridCol w:w="706"/>
        <w:gridCol w:w="708"/>
        <w:gridCol w:w="710"/>
        <w:gridCol w:w="735"/>
        <w:gridCol w:w="720"/>
      </w:tblGrid>
      <w:tr w:rsidR="00E44FAB" w:rsidRPr="0079374E" w:rsidTr="004A20EE">
        <w:trPr>
          <w:tblHeader/>
          <w:tblCellSpacing w:w="15" w:type="dxa"/>
        </w:trPr>
        <w:tc>
          <w:tcPr>
            <w:tcW w:w="855" w:type="dxa"/>
            <w:vAlign w:val="center"/>
          </w:tcPr>
          <w:p w:rsidR="00E44FAB" w:rsidRPr="004A20EE" w:rsidRDefault="00E44FAB" w:rsidP="00E44FAB">
            <w:pPr>
              <w:spacing w:after="0" w:line="240" w:lineRule="auto"/>
              <w:rPr>
                <w:rFonts w:ascii="Segoe UI" w:eastAsia="Times New Roman" w:hAnsi="Segoe UI" w:cs="Segoe UI"/>
                <w:b/>
                <w:bCs/>
                <w:kern w:val="0"/>
                <w:sz w:val="16"/>
                <w:szCs w:val="16"/>
                <w14:ligatures w14:val="none"/>
              </w:rPr>
            </w:pPr>
            <w:r w:rsidRPr="004A20EE">
              <w:rPr>
                <w:rFonts w:ascii="Segoe UI" w:eastAsia="Times New Roman" w:hAnsi="Segoe UI" w:cs="Segoe UI"/>
                <w:b/>
                <w:bCs/>
                <w:kern w:val="0"/>
                <w:sz w:val="16"/>
                <w:szCs w:val="16"/>
                <w14:ligatures w14:val="none"/>
              </w:rPr>
              <w:t xml:space="preserve">GPA </w:t>
            </w:r>
          </w:p>
        </w:tc>
        <w:tc>
          <w:tcPr>
            <w:tcW w:w="957" w:type="dxa"/>
            <w:vAlign w:val="center"/>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4.00</w:t>
            </w:r>
          </w:p>
        </w:tc>
        <w:tc>
          <w:tcPr>
            <w:tcW w:w="675"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3.90 –3.99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3.80 – 3.89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3.70 – 3.79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3.60 – 3.69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3.50 – 3.59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3.40 – 3.49</w:t>
            </w:r>
          </w:p>
        </w:tc>
        <w:tc>
          <w:tcPr>
            <w:tcW w:w="678"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3.30 – 3.39</w:t>
            </w:r>
          </w:p>
        </w:tc>
        <w:tc>
          <w:tcPr>
            <w:tcW w:w="680"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3.20 – 3.29</w:t>
            </w:r>
          </w:p>
        </w:tc>
        <w:tc>
          <w:tcPr>
            <w:tcW w:w="705" w:type="dxa"/>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3.10 – 3.19</w:t>
            </w:r>
          </w:p>
        </w:tc>
        <w:tc>
          <w:tcPr>
            <w:tcW w:w="675" w:type="dxa"/>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3.00 - 3.09</w:t>
            </w:r>
          </w:p>
        </w:tc>
      </w:tr>
      <w:tr w:rsidR="004A20EE" w:rsidRPr="0079374E" w:rsidTr="004A20EE">
        <w:trPr>
          <w:tblHeader/>
          <w:tblCellSpacing w:w="15" w:type="dxa"/>
        </w:trPr>
        <w:tc>
          <w:tcPr>
            <w:tcW w:w="855" w:type="dxa"/>
            <w:vAlign w:val="center"/>
            <w:hideMark/>
          </w:tcPr>
          <w:p w:rsidR="00E44FAB" w:rsidRPr="004A20EE" w:rsidRDefault="00E44FAB" w:rsidP="00E44FAB">
            <w:pPr>
              <w:spacing w:after="0" w:line="240" w:lineRule="auto"/>
              <w:rPr>
                <w:rFonts w:ascii="Segoe UI" w:eastAsia="Times New Roman" w:hAnsi="Segoe UI" w:cs="Segoe UI"/>
                <w:b/>
                <w:bCs/>
                <w:kern w:val="0"/>
                <w:sz w:val="16"/>
                <w:szCs w:val="16"/>
                <w14:ligatures w14:val="none"/>
              </w:rPr>
            </w:pPr>
            <w:r w:rsidRPr="004A20EE">
              <w:rPr>
                <w:rFonts w:ascii="Segoe UI" w:eastAsia="Times New Roman" w:hAnsi="Segoe UI" w:cs="Segoe UI"/>
                <w:b/>
                <w:bCs/>
                <w:kern w:val="0"/>
                <w:sz w:val="16"/>
                <w:szCs w:val="16"/>
                <w14:ligatures w14:val="none"/>
              </w:rPr>
              <w:t>Points</w:t>
            </w:r>
          </w:p>
        </w:tc>
        <w:tc>
          <w:tcPr>
            <w:tcW w:w="957" w:type="dxa"/>
            <w:vAlign w:val="center"/>
            <w:hideMark/>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40</w:t>
            </w:r>
          </w:p>
        </w:tc>
        <w:tc>
          <w:tcPr>
            <w:tcW w:w="67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38</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35</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33</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30</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28</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25</w:t>
            </w:r>
          </w:p>
        </w:tc>
        <w:tc>
          <w:tcPr>
            <w:tcW w:w="678"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23</w:t>
            </w:r>
          </w:p>
        </w:tc>
        <w:tc>
          <w:tcPr>
            <w:tcW w:w="680"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22</w:t>
            </w:r>
          </w:p>
        </w:tc>
        <w:tc>
          <w:tcPr>
            <w:tcW w:w="70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20</w:t>
            </w:r>
          </w:p>
        </w:tc>
        <w:tc>
          <w:tcPr>
            <w:tcW w:w="67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15</w:t>
            </w:r>
          </w:p>
        </w:tc>
      </w:tr>
    </w:tbl>
    <w:p w:rsidR="0079374E" w:rsidRDefault="0079374E" w:rsidP="00E44FAB">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40</w:t>
      </w:r>
    </w:p>
    <w:p w:rsidR="0015188A" w:rsidRDefault="0015188A" w:rsidP="0079374E">
      <w:pPr>
        <w:spacing w:before="100" w:beforeAutospacing="1" w:after="100" w:afterAutospacing="1" w:line="240" w:lineRule="auto"/>
        <w:rPr>
          <w:rFonts w:ascii="Segoe UI" w:eastAsia="Times New Roman" w:hAnsi="Segoe UI" w:cs="Segoe UI"/>
          <w:kern w:val="0"/>
          <w14:ligatures w14:val="none"/>
        </w:rPr>
      </w:pPr>
    </w:p>
    <w:p w:rsidR="0079374E" w:rsidRPr="0079374E" w:rsidRDefault="0079374E" w:rsidP="00BC2FC9">
      <w:pPr>
        <w:spacing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2. English Language Proficiency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0"/>
        <w:gridCol w:w="1056"/>
      </w:tblGrid>
      <w:tr w:rsidR="0079374E" w:rsidRPr="0079374E" w:rsidTr="0079374E">
        <w:trPr>
          <w:tblHeade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Qualification / Evidence</w:t>
            </w:r>
          </w:p>
        </w:tc>
        <w:tc>
          <w:tcPr>
            <w:tcW w:w="1011" w:type="dxa"/>
            <w:vAlign w:val="center"/>
            <w:hideMark/>
          </w:tcPr>
          <w:p w:rsidR="0079374E" w:rsidRPr="0079374E" w:rsidRDefault="0079374E" w:rsidP="0079374E">
            <w:pPr>
              <w:spacing w:after="0" w:line="240" w:lineRule="auto"/>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Points</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6.5 or above / equivalent certification</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25</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6.0 or equivalent</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18</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5.5 or equivalent</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10</w:t>
            </w:r>
          </w:p>
        </w:tc>
      </w:tr>
    </w:tbl>
    <w:p w:rsidR="0079374E" w:rsidRPr="0079374E" w:rsidRDefault="00991623" w:rsidP="00BC2FC9">
      <w:pPr>
        <w:spacing w:before="100" w:beforeAutospacing="1" w:after="0" w:line="240" w:lineRule="auto"/>
        <w:rPr>
          <w:rFonts w:ascii="Segoe UI" w:eastAsia="Times New Roman" w:hAnsi="Segoe UI" w:cs="Segoe UI"/>
          <w:kern w:val="0"/>
          <w14:ligatures w14:val="none"/>
        </w:rPr>
      </w:pPr>
      <w:r>
        <w:rPr>
          <w:rFonts w:ascii="Segoe UI" w:hAnsi="Segoe UI" w:cs="Segoe UI"/>
          <w:b/>
          <w:bCs/>
        </w:rPr>
        <w:t>Claim the highest achievement: …………………………………………….</w:t>
      </w:r>
      <w:r w:rsidR="0079374E" w:rsidRPr="0079374E">
        <w:rPr>
          <w:rFonts w:ascii="Segoe UI" w:eastAsia="Times New Roman" w:hAnsi="Segoe UI" w:cs="Segoe UI"/>
          <w:b/>
          <w:bCs/>
          <w:kern w:val="0"/>
          <w14:ligatures w14:val="none"/>
        </w:rPr>
        <w:t>Maximum Points:</w:t>
      </w:r>
      <w:r w:rsidR="0079374E" w:rsidRPr="0079374E">
        <w:rPr>
          <w:rFonts w:ascii="Segoe UI" w:eastAsia="Times New Roman" w:hAnsi="Segoe UI" w:cs="Segoe UI"/>
          <w:kern w:val="0"/>
          <w14:ligatures w14:val="none"/>
        </w:rPr>
        <w:t xml:space="preserve"> </w:t>
      </w:r>
      <w:r w:rsidR="00850AB3">
        <w:rPr>
          <w:rFonts w:ascii="Segoe UI" w:eastAsia="Times New Roman" w:hAnsi="Segoe UI" w:cs="Segoe UI"/>
          <w:kern w:val="0"/>
          <w14:ligatures w14:val="none"/>
        </w:rPr>
        <w:t>25</w:t>
      </w:r>
    </w:p>
    <w:p w:rsidR="0079374E" w:rsidRPr="0079374E" w:rsidRDefault="0079374E" w:rsidP="0079374E">
      <w:pPr>
        <w:spacing w:after="0" w:line="240" w:lineRule="auto"/>
        <w:rPr>
          <w:rFonts w:ascii="Segoe UI" w:eastAsia="Times New Roman" w:hAnsi="Segoe UI" w:cs="Segoe UI"/>
          <w:kern w:val="0"/>
          <w14:ligatures w14:val="none"/>
        </w:rPr>
      </w:pPr>
    </w:p>
    <w:p w:rsidR="0079374E" w:rsidRPr="0079374E" w:rsidRDefault="0079374E" w:rsidP="004A20EE">
      <w:pPr>
        <w:spacing w:before="100" w:beforeAutospacing="1" w:after="0"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3. Interview Performance</w:t>
      </w:r>
    </w:p>
    <w:p w:rsidR="0079374E" w:rsidRDefault="0079374E" w:rsidP="00774572">
      <w:pPr>
        <w:spacing w:before="100" w:beforeAutospacing="1" w:after="100" w:afterAutospacing="1" w:line="240" w:lineRule="auto"/>
        <w:jc w:val="both"/>
        <w:rPr>
          <w:rFonts w:ascii="Segoe UI" w:eastAsia="Times New Roman" w:hAnsi="Segoe UI" w:cs="Segoe UI"/>
          <w:kern w:val="0"/>
          <w14:ligatures w14:val="none"/>
        </w:rPr>
      </w:pPr>
      <w:r w:rsidRPr="0079374E">
        <w:rPr>
          <w:rFonts w:ascii="Segoe UI" w:eastAsia="Times New Roman" w:hAnsi="Segoe UI" w:cs="Segoe UI"/>
          <w:kern w:val="0"/>
          <w14:ligatures w14:val="none"/>
        </w:rPr>
        <w:t>Evaluation based on communication skills, intercultural readiness, and overall commi</w:t>
      </w:r>
      <w:r w:rsidR="00774572">
        <w:rPr>
          <w:rFonts w:ascii="Segoe UI" w:eastAsia="Times New Roman" w:hAnsi="Segoe UI" w:cs="Segoe UI"/>
          <w:kern w:val="0"/>
          <w14:ligatures w14:val="none"/>
        </w:rPr>
        <w:t xml:space="preserve">tment to the mobility </w:t>
      </w:r>
      <w:proofErr w:type="spellStart"/>
      <w:r w:rsidR="00774572">
        <w:rPr>
          <w:rFonts w:ascii="Segoe UI" w:eastAsia="Times New Roman" w:hAnsi="Segoe UI" w:cs="Segoe UI"/>
          <w:kern w:val="0"/>
          <w14:ligatures w14:val="none"/>
        </w:rPr>
        <w:t>programme</w:t>
      </w:r>
      <w:proofErr w:type="spellEnd"/>
      <w:r w:rsidR="00D24639">
        <w:rPr>
          <w:rFonts w:ascii="Segoe UI" w:eastAsia="Times New Roman" w:hAnsi="Segoe UI" w:cs="Segoe UI"/>
          <w:kern w:val="0"/>
          <w14:ligatures w14:val="none"/>
        </w:rPr>
        <w:t>.</w:t>
      </w:r>
    </w:p>
    <w:p w:rsidR="00991623" w:rsidRPr="00991623" w:rsidRDefault="00991623" w:rsidP="004A20EE">
      <w:pPr>
        <w:spacing w:before="100" w:beforeAutospacing="1" w:after="100" w:afterAutospacing="1" w:line="240" w:lineRule="auto"/>
        <w:jc w:val="right"/>
        <w:rPr>
          <w:rFonts w:ascii="Segoe UI" w:eastAsia="Times New Roman" w:hAnsi="Segoe UI" w:cs="Segoe UI"/>
          <w:i/>
          <w:kern w:val="0"/>
          <w14:ligatures w14:val="none"/>
        </w:rPr>
      </w:pPr>
      <w:r w:rsidRPr="00991623">
        <w:rPr>
          <w:rFonts w:ascii="Segoe UI" w:eastAsia="Times New Roman" w:hAnsi="Segoe UI" w:cs="Segoe UI"/>
          <w:i/>
          <w:kern w:val="0"/>
          <w14:ligatures w14:val="none"/>
        </w:rPr>
        <w:t>The assessment will be carried out at the time of the interview.</w:t>
      </w:r>
    </w:p>
    <w:p w:rsidR="0079374E" w:rsidRPr="0079374E" w:rsidRDefault="0079374E" w:rsidP="004A20EE">
      <w:pPr>
        <w:spacing w:before="100" w:beforeAutospacing="1" w:after="0"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20</w:t>
      </w:r>
    </w:p>
    <w:p w:rsidR="0079374E" w:rsidRPr="0079374E" w:rsidRDefault="0079374E" w:rsidP="0079374E">
      <w:pPr>
        <w:spacing w:before="100" w:beforeAutospacing="1"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4. Extra-Curricular Activities</w:t>
      </w:r>
    </w:p>
    <w:p w:rsidR="00991623" w:rsidRPr="004F328D" w:rsidRDefault="00991623" w:rsidP="00991623">
      <w:pPr>
        <w:spacing w:line="240" w:lineRule="auto"/>
        <w:ind w:left="720"/>
        <w:jc w:val="both"/>
        <w:rPr>
          <w:rFonts w:ascii="Segoe UI" w:hAnsi="Segoe UI" w:cs="Segoe UI"/>
        </w:rPr>
      </w:pPr>
      <w:r>
        <w:rPr>
          <w:rFonts w:ascii="Segoe UI" w:hAnsi="Segoe UI" w:cs="Segoe UI"/>
        </w:rPr>
        <w:t>………………………………………………………………………………………………………………………………………………………………………………………………………………………………………………………………………………………………………………………………………………………………………………………………………………………………………………………………………………………………………………………………………………………………</w:t>
      </w:r>
    </w:p>
    <w:p w:rsidR="0079374E" w:rsidRDefault="0079374E"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w:t>
      </w:r>
      <w:r w:rsidR="00850AB3">
        <w:rPr>
          <w:rFonts w:ascii="Segoe UI" w:eastAsia="Times New Roman" w:hAnsi="Segoe UI" w:cs="Segoe UI"/>
          <w:kern w:val="0"/>
          <w14:ligatures w14:val="none"/>
        </w:rPr>
        <w:t>05</w:t>
      </w:r>
    </w:p>
    <w:p w:rsidR="0033044A" w:rsidRPr="0079374E" w:rsidRDefault="0033044A" w:rsidP="00991623">
      <w:pPr>
        <w:spacing w:before="100" w:beforeAutospacing="1" w:after="100" w:afterAutospacing="1" w:line="240" w:lineRule="auto"/>
        <w:jc w:val="right"/>
        <w:rPr>
          <w:rFonts w:ascii="Segoe UI" w:eastAsia="Times New Roman" w:hAnsi="Segoe UI" w:cs="Segoe UI"/>
          <w:kern w:val="0"/>
          <w14:ligatures w14:val="none"/>
        </w:rPr>
      </w:pPr>
    </w:p>
    <w:p w:rsidR="00850AB3" w:rsidRPr="00850AB3" w:rsidRDefault="00850AB3" w:rsidP="00850AB3">
      <w:pPr>
        <w:spacing w:before="100" w:beforeAutospacing="1" w:after="100" w:afterAutospacing="1" w:line="240" w:lineRule="auto"/>
        <w:outlineLvl w:val="2"/>
        <w:rPr>
          <w:rFonts w:ascii="Segoe UI" w:eastAsia="Times New Roman" w:hAnsi="Segoe UI" w:cs="Segoe UI"/>
          <w:b/>
          <w:bCs/>
          <w:kern w:val="0"/>
          <w14:ligatures w14:val="none"/>
        </w:rPr>
      </w:pPr>
      <w:r>
        <w:rPr>
          <w:rFonts w:ascii="Segoe UI" w:eastAsia="Times New Roman" w:hAnsi="Segoe UI" w:cs="Segoe UI"/>
          <w:b/>
          <w:bCs/>
          <w:kern w:val="0"/>
          <w14:ligatures w14:val="none"/>
        </w:rPr>
        <w:lastRenderedPageBreak/>
        <w:t>5</w:t>
      </w:r>
      <w:r w:rsidRPr="0079374E">
        <w:rPr>
          <w:rFonts w:ascii="Segoe UI" w:eastAsia="Times New Roman" w:hAnsi="Segoe UI" w:cs="Segoe UI"/>
          <w:b/>
          <w:bCs/>
          <w:kern w:val="0"/>
          <w14:ligatures w14:val="none"/>
        </w:rPr>
        <w:t xml:space="preserve">. </w:t>
      </w:r>
      <w:r w:rsidRPr="00850AB3">
        <w:rPr>
          <w:rFonts w:ascii="Segoe UI" w:eastAsia="Times New Roman" w:hAnsi="Segoe UI" w:cs="Segoe UI"/>
          <w:b/>
          <w:bCs/>
          <w:kern w:val="0"/>
          <w14:ligatures w14:val="none"/>
        </w:rPr>
        <w:t>Participants with fewer opportunities (10 Points)</w:t>
      </w:r>
    </w:p>
    <w:p w:rsidR="00850AB3" w:rsidRPr="0079374E" w:rsidRDefault="00850AB3" w:rsidP="00850AB3">
      <w:pPr>
        <w:spacing w:before="100" w:beforeAutospacing="1" w:after="100" w:afterAutospacing="1" w:line="240" w:lineRule="auto"/>
        <w:jc w:val="both"/>
        <w:rPr>
          <w:rFonts w:ascii="Segoe UI" w:eastAsia="Times New Roman" w:hAnsi="Segoe UI" w:cs="Segoe UI"/>
          <w:kern w:val="0"/>
          <w14:ligatures w14:val="none"/>
        </w:rPr>
      </w:pPr>
      <w:r>
        <w:rPr>
          <w:rFonts w:ascii="Segoe UI" w:eastAsia="Times New Roman" w:hAnsi="Segoe UI" w:cs="Segoe UI"/>
          <w:kern w:val="0"/>
          <w14:ligatures w14:val="none"/>
        </w:rPr>
        <w:t xml:space="preserve">See the details </w:t>
      </w:r>
      <w:r w:rsidR="004A20EE">
        <w:rPr>
          <w:rFonts w:ascii="Segoe UI" w:eastAsia="Times New Roman" w:hAnsi="Segoe UI" w:cs="Segoe UI"/>
          <w:kern w:val="0"/>
          <w14:ligatures w14:val="none"/>
        </w:rPr>
        <w:t>for this section 5</w:t>
      </w:r>
    </w:p>
    <w:p w:rsidR="00991623" w:rsidRPr="004F328D" w:rsidRDefault="00991623" w:rsidP="00991623">
      <w:pPr>
        <w:spacing w:line="240" w:lineRule="auto"/>
        <w:ind w:left="720"/>
        <w:jc w:val="both"/>
        <w:rPr>
          <w:rFonts w:ascii="Segoe UI" w:hAnsi="Segoe UI" w:cs="Segoe UI"/>
        </w:rPr>
      </w:pPr>
      <w:r>
        <w:rPr>
          <w:rFonts w:ascii="Segoe UI" w:hAnsi="Segoe UI" w:cs="Segoe UI"/>
        </w:rPr>
        <w:t>………………………………………………………………………………………………………………………………………………………………………………………………………………………………………………………………………………………………………………………………………………………………………………………………………………………………………………………………………………………………………………………………………………………………</w:t>
      </w:r>
    </w:p>
    <w:p w:rsidR="00850AB3" w:rsidRPr="0079374E" w:rsidRDefault="00850AB3"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10</w:t>
      </w:r>
    </w:p>
    <w:p w:rsidR="00850AB3" w:rsidRDefault="00D24639" w:rsidP="00850AB3">
      <w:pPr>
        <w:autoSpaceDE w:val="0"/>
        <w:autoSpaceDN w:val="0"/>
        <w:adjustRightInd w:val="0"/>
        <w:spacing w:after="0" w:line="240" w:lineRule="auto"/>
        <w:rPr>
          <w:rFonts w:ascii="Calibri" w:hAnsi="Calibri" w:cs="Calibri"/>
          <w:kern w:val="0"/>
          <w:sz w:val="24"/>
          <w:szCs w:val="24"/>
        </w:rPr>
      </w:pPr>
      <w:r>
        <w:rPr>
          <w:rFonts w:ascii="Segoe UI" w:eastAsia="Times New Roman" w:hAnsi="Segoe UI" w:cs="Segoe UI"/>
          <w:kern w:val="0"/>
          <w14:ligatures w14:val="none"/>
        </w:rPr>
        <w:pict>
          <v:rect id="_x0000_i1026" style="width:0;height:1.5pt" o:hralign="center" o:hrstd="t" o:hr="t" fillcolor="#a0a0a0" stroked="f"/>
        </w:pict>
      </w:r>
    </w:p>
    <w:p w:rsidR="0079374E" w:rsidRPr="0079374E" w:rsidRDefault="0079374E"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Total Maximum Score:</w:t>
      </w:r>
      <w:r w:rsidRPr="0079374E">
        <w:rPr>
          <w:rFonts w:ascii="Segoe UI" w:eastAsia="Times New Roman" w:hAnsi="Segoe UI" w:cs="Segoe UI"/>
          <w:kern w:val="0"/>
          <w14:ligatures w14:val="none"/>
        </w:rPr>
        <w:t xml:space="preserve"> 100 Points</w:t>
      </w:r>
    </w:p>
    <w:p w:rsidR="00AF5143" w:rsidRPr="004A20EE" w:rsidRDefault="004A20EE" w:rsidP="00AF5143">
      <w:pPr>
        <w:rPr>
          <w:rFonts w:ascii="Segoe UI" w:hAnsi="Segoe UI" w:cs="Segoe UI"/>
          <w:b/>
          <w:kern w:val="0"/>
          <w:sz w:val="20"/>
          <w:szCs w:val="20"/>
        </w:rPr>
      </w:pPr>
      <w:r w:rsidRPr="004A20EE">
        <w:rPr>
          <w:rFonts w:ascii="Segoe UI" w:hAnsi="Segoe UI" w:cs="Segoe UI"/>
          <w:b/>
          <w:kern w:val="0"/>
          <w:sz w:val="20"/>
          <w:szCs w:val="20"/>
        </w:rPr>
        <w:t xml:space="preserve">Details of </w:t>
      </w:r>
      <w:r w:rsidR="00AF5143" w:rsidRPr="004A20EE">
        <w:rPr>
          <w:rFonts w:ascii="Segoe UI" w:hAnsi="Segoe UI" w:cs="Segoe UI"/>
          <w:b/>
          <w:kern w:val="0"/>
          <w:sz w:val="20"/>
          <w:szCs w:val="20"/>
        </w:rPr>
        <w:t xml:space="preserve">Section </w:t>
      </w:r>
      <w:r w:rsidRPr="004A20EE">
        <w:rPr>
          <w:rFonts w:ascii="Segoe UI" w:hAnsi="Segoe UI" w:cs="Segoe UI"/>
          <w:b/>
          <w:kern w:val="0"/>
          <w:sz w:val="20"/>
          <w:szCs w:val="20"/>
        </w:rPr>
        <w:t>5</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 xml:space="preserve">The Erasmus+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 xml:space="preserve"> aims at promoting equity and inclusion by facilitating access to participants with fewer opportunities. In the evaluation and selection process in case of equivalent academic merit, preference should be assigned to students with fewer opportunities. The Erasmus+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 xml:space="preserve"> foresees a top-up grant for students with fewer opportunities. </w:t>
      </w:r>
    </w:p>
    <w:p w:rsidR="00991623" w:rsidRPr="004A20EE" w:rsidRDefault="00991623" w:rsidP="00AF5143">
      <w:pPr>
        <w:autoSpaceDE w:val="0"/>
        <w:autoSpaceDN w:val="0"/>
        <w:adjustRightInd w:val="0"/>
        <w:spacing w:after="0" w:line="240" w:lineRule="auto"/>
        <w:jc w:val="both"/>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1) Economic Barriers</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r w:rsidRPr="004A20EE">
        <w:rPr>
          <w:rFonts w:ascii="Segoe UI" w:hAnsi="Segoe UI" w:cs="Segoe UI"/>
          <w:color w:val="000000"/>
          <w:kern w:val="0"/>
          <w:sz w:val="20"/>
          <w:szCs w:val="20"/>
        </w:rPr>
        <w:t>Low income, a low standard of living, poverty, long-term unemployment, homelessness, or financial dependence on social welfare.</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Official confirmation that the student receives support from the social welfare system.</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2) Migrant, Refugee, or Asylum Seeker Status</w:t>
      </w: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Decision granting asylum or subsidiary protection: residence permit. Proof of identity: passport for an asylum seeker, a special passport for a foreigner, another identification document.</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3) Disabilities or Health-related Barriers</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 xml:space="preserve">This includes physical, mental, intellectual or sensory impairments which, in interaction with various barriers, may hinder someone’s full and effective participation in society on the same footing as others. Health problems: Barriers may result from health issues including severe illnesses, chronic diseases, or any other physical or mental health-related situation that prevents from participating in the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Family doctor's or specialist doctor confirmation on disability (in original, not older than 6 months) and if applicable copy of confirmation from the competent institution/state body from which the percentage of disability is visible.</w:t>
      </w:r>
    </w:p>
    <w:p w:rsidR="00AF5143" w:rsidRPr="004A20EE" w:rsidRDefault="00AF5143" w:rsidP="00AF5143">
      <w:pPr>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r w:rsidRPr="004A20EE">
        <w:rPr>
          <w:rFonts w:ascii="Segoe UI" w:hAnsi="Segoe UI" w:cs="Segoe UI"/>
          <w:b/>
          <w:bCs/>
          <w:color w:val="000000"/>
          <w:kern w:val="0"/>
          <w:sz w:val="20"/>
          <w:szCs w:val="20"/>
        </w:rPr>
        <w:t>Optional top-up category:</w:t>
      </w: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4) Students traveling to another country for the purpose of obtaining a visa</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Students who face additional costs (e.g. travel and accommodation costs in another country) when obtaining visas for coming to the Republic of Croatia.</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Proof</w:t>
      </w:r>
      <w:r w:rsidRPr="004A20EE">
        <w:rPr>
          <w:rFonts w:ascii="Segoe UI" w:hAnsi="Segoe UI" w:cs="Segoe UI"/>
          <w:color w:val="000000"/>
          <w:kern w:val="0"/>
          <w:sz w:val="20"/>
          <w:szCs w:val="20"/>
        </w:rPr>
        <w:t xml:space="preserve">: verification of the need for travel on MFEA's website (Ministry of Foreign and European Affairs): </w:t>
      </w:r>
      <w:r w:rsidRPr="004A20EE">
        <w:rPr>
          <w:rFonts w:ascii="Segoe UI" w:hAnsi="Segoe UI" w:cs="Segoe UI"/>
          <w:color w:val="0000FF"/>
          <w:kern w:val="0"/>
          <w:sz w:val="20"/>
          <w:szCs w:val="20"/>
        </w:rPr>
        <w:t>https://mvep.gov.hr/embassies-andconsulates/244596</w:t>
      </w:r>
    </w:p>
    <w:p w:rsidR="00850AB3" w:rsidRPr="004A20EE" w:rsidRDefault="00AF5143" w:rsidP="004A20EE">
      <w:pPr>
        <w:autoSpaceDE w:val="0"/>
        <w:autoSpaceDN w:val="0"/>
        <w:adjustRightInd w:val="0"/>
        <w:spacing w:after="0" w:line="240" w:lineRule="auto"/>
        <w:jc w:val="both"/>
        <w:rPr>
          <w:rFonts w:ascii="Segoe UI" w:hAnsi="Segoe UI" w:cs="Segoe UI"/>
          <w:sz w:val="20"/>
          <w:szCs w:val="20"/>
        </w:rPr>
      </w:pPr>
      <w:proofErr w:type="gramStart"/>
      <w:r w:rsidRPr="004A20EE">
        <w:rPr>
          <w:rFonts w:ascii="Segoe UI" w:hAnsi="Segoe UI" w:cs="Segoe UI"/>
          <w:color w:val="000000"/>
          <w:kern w:val="0"/>
          <w:sz w:val="20"/>
          <w:szCs w:val="20"/>
        </w:rPr>
        <w:t>including</w:t>
      </w:r>
      <w:proofErr w:type="gramEnd"/>
      <w:r w:rsidRPr="004A20EE">
        <w:rPr>
          <w:rFonts w:ascii="Segoe UI" w:hAnsi="Segoe UI" w:cs="Segoe UI"/>
          <w:color w:val="000000"/>
          <w:kern w:val="0"/>
          <w:sz w:val="20"/>
          <w:szCs w:val="20"/>
        </w:rPr>
        <w:t xml:space="preserve"> proof of incurred travel or accommodation costs (travel tickets and/or proof of paid accommodation).</w:t>
      </w:r>
    </w:p>
    <w:sectPr w:rsidR="00850AB3" w:rsidRPr="004A20EE" w:rsidSect="004A20EE">
      <w:pgSz w:w="11907" w:h="16839" w:code="9"/>
      <w:pgMar w:top="1080" w:right="1440" w:bottom="450" w:left="1440" w:header="360"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947D2"/>
    <w:multiLevelType w:val="hybridMultilevel"/>
    <w:tmpl w:val="2B2ED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AA4B0C"/>
    <w:multiLevelType w:val="multilevel"/>
    <w:tmpl w:val="B4D6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4E"/>
    <w:rsid w:val="0015188A"/>
    <w:rsid w:val="0033044A"/>
    <w:rsid w:val="004A20EE"/>
    <w:rsid w:val="004B37B5"/>
    <w:rsid w:val="004D4CF5"/>
    <w:rsid w:val="005864A1"/>
    <w:rsid w:val="005E77CB"/>
    <w:rsid w:val="00774572"/>
    <w:rsid w:val="0079374E"/>
    <w:rsid w:val="0082458E"/>
    <w:rsid w:val="00850AB3"/>
    <w:rsid w:val="00991623"/>
    <w:rsid w:val="00AF5143"/>
    <w:rsid w:val="00BC2FC9"/>
    <w:rsid w:val="00D24639"/>
    <w:rsid w:val="00E44FAB"/>
    <w:rsid w:val="00EE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7F40B-B66F-43DD-89FB-A01C1D52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37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374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93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9374E"/>
    <w:rPr>
      <w:b/>
      <w:bCs/>
    </w:rPr>
  </w:style>
  <w:style w:type="paragraph" w:styleId="ListParagraph">
    <w:name w:val="List Paragraph"/>
    <w:basedOn w:val="Normal"/>
    <w:uiPriority w:val="34"/>
    <w:qFormat/>
    <w:rsid w:val="0085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3954">
      <w:bodyDiv w:val="1"/>
      <w:marLeft w:val="0"/>
      <w:marRight w:val="0"/>
      <w:marTop w:val="0"/>
      <w:marBottom w:val="0"/>
      <w:divBdr>
        <w:top w:val="none" w:sz="0" w:space="0" w:color="auto"/>
        <w:left w:val="none" w:sz="0" w:space="0" w:color="auto"/>
        <w:bottom w:val="none" w:sz="0" w:space="0" w:color="auto"/>
        <w:right w:val="none" w:sz="0" w:space="0" w:color="auto"/>
      </w:divBdr>
    </w:div>
    <w:div w:id="10120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HRM</cp:lastModifiedBy>
  <cp:revision>11</cp:revision>
  <dcterms:created xsi:type="dcterms:W3CDTF">2025-10-07T05:26:00Z</dcterms:created>
  <dcterms:modified xsi:type="dcterms:W3CDTF">2026-02-11T00:39:00Z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d753ddc3-59ec-497a-8261-4bbe4d9eae18</vt:lpwstr>
  </property>
</Properties>
</file>